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CCC" w:rsidRDefault="00194CCC" w:rsidP="00194CCC">
      <w:pPr>
        <w:spacing w:after="0" w:line="240" w:lineRule="auto"/>
        <w:rPr>
          <w:rFonts w:eastAsia="Times New Roman" w:cstheme="minorHAnsi"/>
          <w:sz w:val="24"/>
          <w:szCs w:val="24"/>
          <w:lang w:val="en-US" w:eastAsia="it-IT"/>
        </w:rPr>
      </w:pPr>
      <w:r w:rsidRPr="00194CCC">
        <w:rPr>
          <w:rFonts w:eastAsia="Times New Roman" w:cstheme="minorHAnsi"/>
          <w:sz w:val="24"/>
          <w:szCs w:val="24"/>
          <w:lang w:val="en-US" w:eastAsia="it-IT"/>
        </w:rPr>
        <w:t xml:space="preserve">Fig. 1. Positive (top left) and negative (top right) number of catches per month (x axis) and 5 year classes. Catches dataset is affected by strong seasonality. Positive catches (at least 1 </w:t>
      </w:r>
      <w:r w:rsidRPr="00194CCC">
        <w:rPr>
          <w:rFonts w:eastAsia="Times New Roman" w:cstheme="minorHAnsi"/>
          <w:i/>
          <w:sz w:val="24"/>
          <w:szCs w:val="24"/>
          <w:lang w:val="en-US" w:eastAsia="it-IT"/>
        </w:rPr>
        <w:t xml:space="preserve">C. </w:t>
      </w:r>
      <w:proofErr w:type="spellStart"/>
      <w:r w:rsidRPr="00194CCC">
        <w:rPr>
          <w:rFonts w:eastAsia="Times New Roman" w:cstheme="minorHAnsi"/>
          <w:i/>
          <w:sz w:val="24"/>
          <w:szCs w:val="24"/>
          <w:lang w:val="en-US" w:eastAsia="it-IT"/>
        </w:rPr>
        <w:t>imicola</w:t>
      </w:r>
      <w:proofErr w:type="spellEnd"/>
      <w:r w:rsidRPr="00194CCC">
        <w:rPr>
          <w:rFonts w:eastAsia="Times New Roman" w:cstheme="minorHAnsi"/>
          <w:sz w:val="24"/>
          <w:szCs w:val="24"/>
          <w:lang w:val="en-US" w:eastAsia="it-IT"/>
        </w:rPr>
        <w:t xml:space="preserve">, red points, bottom right) and negative catches (bottom left, green points) maps. </w:t>
      </w:r>
      <w:r w:rsidRPr="00194CCC">
        <w:rPr>
          <w:rFonts w:eastAsia="Times New Roman" w:cstheme="minorHAnsi"/>
          <w:i/>
          <w:sz w:val="24"/>
          <w:szCs w:val="24"/>
          <w:lang w:val="en-US" w:eastAsia="it-IT"/>
        </w:rPr>
        <w:t xml:space="preserve">C. </w:t>
      </w:r>
      <w:proofErr w:type="spellStart"/>
      <w:r w:rsidRPr="00194CCC">
        <w:rPr>
          <w:rFonts w:eastAsia="Times New Roman" w:cstheme="minorHAnsi"/>
          <w:i/>
          <w:sz w:val="24"/>
          <w:szCs w:val="24"/>
          <w:lang w:val="en-US" w:eastAsia="it-IT"/>
        </w:rPr>
        <w:t>imicola’s</w:t>
      </w:r>
      <w:proofErr w:type="spellEnd"/>
      <w:r w:rsidRPr="00194CCC">
        <w:rPr>
          <w:rFonts w:eastAsia="Times New Roman" w:cstheme="minorHAnsi"/>
          <w:sz w:val="24"/>
          <w:szCs w:val="24"/>
          <w:lang w:val="en-US" w:eastAsia="it-IT"/>
        </w:rPr>
        <w:t xml:space="preserve"> presence shows an evident clustered pattern. </w:t>
      </w:r>
    </w:p>
    <w:p w:rsidR="00194CCC" w:rsidRPr="00194CCC" w:rsidRDefault="00194CCC" w:rsidP="00194CCC">
      <w:pPr>
        <w:spacing w:after="0" w:line="240" w:lineRule="auto"/>
        <w:rPr>
          <w:rFonts w:eastAsia="Times New Roman" w:cstheme="minorHAnsi"/>
          <w:sz w:val="24"/>
          <w:szCs w:val="24"/>
          <w:lang w:val="en-GB" w:eastAsia="it-IT"/>
        </w:rPr>
      </w:pPr>
    </w:p>
    <w:p w:rsidR="00194CCC" w:rsidRDefault="00194CCC" w:rsidP="00194CCC">
      <w:pPr>
        <w:spacing w:after="0" w:line="240" w:lineRule="auto"/>
        <w:rPr>
          <w:rFonts w:eastAsia="Times New Roman" w:cstheme="minorHAnsi"/>
          <w:sz w:val="24"/>
          <w:szCs w:val="24"/>
          <w:lang w:val="en-US" w:eastAsia="it-IT"/>
        </w:rPr>
      </w:pPr>
      <w:r w:rsidRPr="00194CCC">
        <w:rPr>
          <w:rFonts w:eastAsia="Times New Roman" w:cstheme="minorHAnsi"/>
          <w:sz w:val="24"/>
          <w:szCs w:val="24"/>
          <w:lang w:val="en-US" w:eastAsia="it-IT"/>
        </w:rPr>
        <w:t xml:space="preserve">Fig. 2. Scatter plot of the difference in prevalence between test and sample (x axis) and corresponding test size (percentage, on y axis) resulting from the brute force procedure (panel a). The red highlighted area containing the 277 samples complying with the chosen constraints  are zoomed in panel b. Most of suitable samples come from assigning nine pixel to the test dataset. Panel c shows the total sample size distribution (train plus test), whilst two random example of the (277) selected samples are mapped in panel d (points belonging to train and test are green and red colored respectively) </w:t>
      </w:r>
    </w:p>
    <w:p w:rsidR="00194CCC" w:rsidRPr="00194CCC" w:rsidRDefault="00194CCC" w:rsidP="00194CCC">
      <w:pPr>
        <w:spacing w:after="0" w:line="240" w:lineRule="auto"/>
        <w:rPr>
          <w:rFonts w:eastAsia="Times New Roman" w:cstheme="minorHAnsi"/>
          <w:sz w:val="24"/>
          <w:szCs w:val="24"/>
          <w:lang w:val="en-GB" w:eastAsia="it-IT"/>
        </w:rPr>
      </w:pPr>
    </w:p>
    <w:p w:rsidR="00194CCC" w:rsidRDefault="00194CCC" w:rsidP="00194CCC">
      <w:pPr>
        <w:spacing w:after="0" w:line="240" w:lineRule="auto"/>
        <w:rPr>
          <w:rFonts w:eastAsia="Times New Roman" w:cstheme="minorHAnsi"/>
          <w:noProof/>
          <w:sz w:val="24"/>
          <w:szCs w:val="24"/>
          <w:lang w:val="en-US" w:eastAsia="it-IT"/>
        </w:rPr>
      </w:pPr>
      <w:r w:rsidRPr="00194CCC">
        <w:rPr>
          <w:rFonts w:eastAsia="Times New Roman" w:cstheme="minorHAnsi"/>
          <w:noProof/>
          <w:sz w:val="24"/>
          <w:szCs w:val="24"/>
          <w:lang w:val="en-US" w:eastAsia="it-IT"/>
        </w:rPr>
        <w:t>Fig. 3. Algorithm performance comparison in terms of AUC, Accuracy, Se and Sp (panel a). Spatial prediction (neglecting the timing of catches) using Xlgboost tree model (highest AUC value of</w:t>
      </w:r>
      <w:r w:rsidRPr="00194CCC">
        <w:rPr>
          <w:rFonts w:eastAsia="Times New Roman" w:cstheme="minorHAnsi"/>
          <w:sz w:val="24"/>
          <w:szCs w:val="24"/>
          <w:lang w:val="en-US" w:eastAsia="it-IT"/>
        </w:rPr>
        <w:t xml:space="preserve"> </w:t>
      </w:r>
      <w:r w:rsidRPr="00194CCC">
        <w:rPr>
          <w:rFonts w:eastAsia="Times New Roman" w:cstheme="minorHAnsi"/>
          <w:noProof/>
          <w:sz w:val="24"/>
          <w:szCs w:val="24"/>
          <w:lang w:val="en-US" w:eastAsia="it-IT"/>
        </w:rPr>
        <w:t>0.984) is shown in panel b for absence (on the left) and presence (on the right) location in the test dataset. Red and green dots represents presence and absence prediction respectively.</w:t>
      </w:r>
    </w:p>
    <w:p w:rsidR="00194CCC" w:rsidRPr="00194CCC" w:rsidRDefault="00194CCC" w:rsidP="00194CCC">
      <w:pPr>
        <w:spacing w:after="0" w:line="240" w:lineRule="auto"/>
        <w:rPr>
          <w:rFonts w:eastAsia="Times New Roman" w:cstheme="minorHAnsi"/>
          <w:sz w:val="24"/>
          <w:szCs w:val="24"/>
          <w:lang w:val="en-GB" w:eastAsia="it-IT"/>
        </w:rPr>
      </w:pPr>
    </w:p>
    <w:p w:rsidR="00194CCC" w:rsidRDefault="00194CCC" w:rsidP="00194CCC">
      <w:pPr>
        <w:spacing w:after="0" w:line="240" w:lineRule="auto"/>
        <w:rPr>
          <w:rFonts w:eastAsia="Times New Roman" w:cstheme="minorHAnsi"/>
          <w:noProof/>
          <w:sz w:val="24"/>
          <w:szCs w:val="24"/>
          <w:lang w:val="en-US" w:eastAsia="it-IT"/>
        </w:rPr>
      </w:pPr>
      <w:r w:rsidRPr="00194CCC">
        <w:rPr>
          <w:rFonts w:eastAsia="Times New Roman" w:cstheme="minorHAnsi"/>
          <w:noProof/>
          <w:sz w:val="24"/>
          <w:szCs w:val="24"/>
          <w:lang w:val="en-US" w:eastAsia="it-IT"/>
        </w:rPr>
        <w:t>Fig. 4. Xlgboost class probability, 1 km resolution, for April the 1</w:t>
      </w:r>
      <w:r w:rsidRPr="00194CCC">
        <w:rPr>
          <w:rFonts w:eastAsia="Times New Roman" w:cstheme="minorHAnsi"/>
          <w:noProof/>
          <w:sz w:val="24"/>
          <w:szCs w:val="24"/>
          <w:vertAlign w:val="superscript"/>
          <w:lang w:val="en-US" w:eastAsia="it-IT"/>
        </w:rPr>
        <w:t>st</w:t>
      </w:r>
      <w:r w:rsidRPr="00194CCC">
        <w:rPr>
          <w:rFonts w:eastAsia="Times New Roman" w:cstheme="minorHAnsi"/>
          <w:noProof/>
          <w:sz w:val="24"/>
          <w:szCs w:val="24"/>
          <w:lang w:val="en-US" w:eastAsia="it-IT"/>
        </w:rPr>
        <w:t xml:space="preserve"> (left) and October the 15</w:t>
      </w:r>
      <w:r w:rsidRPr="00194CCC">
        <w:rPr>
          <w:rFonts w:eastAsia="Times New Roman" w:cstheme="minorHAnsi"/>
          <w:noProof/>
          <w:sz w:val="24"/>
          <w:szCs w:val="24"/>
          <w:vertAlign w:val="superscript"/>
          <w:lang w:val="en-US" w:eastAsia="it-IT"/>
        </w:rPr>
        <w:t>th</w:t>
      </w:r>
      <w:r w:rsidRPr="00194CCC">
        <w:rPr>
          <w:rFonts w:eastAsia="Times New Roman" w:cstheme="minorHAnsi"/>
          <w:noProof/>
          <w:sz w:val="24"/>
          <w:szCs w:val="24"/>
          <w:lang w:val="en-US" w:eastAsia="it-IT"/>
        </w:rPr>
        <w:t xml:space="preserve"> (right), year 2018.</w:t>
      </w:r>
    </w:p>
    <w:p w:rsidR="00194CCC" w:rsidRPr="00194CCC" w:rsidRDefault="00194CCC" w:rsidP="00194CCC">
      <w:pPr>
        <w:spacing w:after="0" w:line="240" w:lineRule="auto"/>
        <w:rPr>
          <w:rFonts w:eastAsia="Times New Roman" w:cstheme="minorHAnsi"/>
          <w:sz w:val="24"/>
          <w:szCs w:val="24"/>
          <w:lang w:val="en-GB" w:eastAsia="it-IT"/>
        </w:rPr>
      </w:pPr>
      <w:bookmarkStart w:id="0" w:name="_GoBack"/>
      <w:bookmarkEnd w:id="0"/>
    </w:p>
    <w:p w:rsidR="00194CCC" w:rsidRPr="00194CCC" w:rsidRDefault="00194CCC" w:rsidP="00194CCC">
      <w:pPr>
        <w:spacing w:after="0" w:line="240" w:lineRule="auto"/>
        <w:rPr>
          <w:rFonts w:eastAsia="Times New Roman" w:cstheme="minorHAnsi"/>
          <w:sz w:val="24"/>
          <w:szCs w:val="24"/>
          <w:lang w:val="en-GB" w:eastAsia="it-IT"/>
        </w:rPr>
      </w:pPr>
      <w:r w:rsidRPr="00194CCC">
        <w:rPr>
          <w:rFonts w:eastAsia="Times New Roman" w:cstheme="minorHAnsi"/>
          <w:sz w:val="24"/>
          <w:szCs w:val="24"/>
          <w:lang w:val="en-US" w:eastAsia="it-IT"/>
        </w:rPr>
        <w:t xml:space="preserve">Fig. 5. Distribution of the 277 model performance in terms of AUC, Se, </w:t>
      </w:r>
      <w:proofErr w:type="spellStart"/>
      <w:r w:rsidRPr="00194CCC">
        <w:rPr>
          <w:rFonts w:eastAsia="Times New Roman" w:cstheme="minorHAnsi"/>
          <w:sz w:val="24"/>
          <w:szCs w:val="24"/>
          <w:lang w:val="en-US" w:eastAsia="it-IT"/>
        </w:rPr>
        <w:t>Sp</w:t>
      </w:r>
      <w:proofErr w:type="spellEnd"/>
      <w:r w:rsidRPr="00194CCC">
        <w:rPr>
          <w:rFonts w:eastAsia="Times New Roman" w:cstheme="minorHAnsi"/>
          <w:sz w:val="24"/>
          <w:szCs w:val="24"/>
          <w:lang w:val="en-US" w:eastAsia="it-IT"/>
        </w:rPr>
        <w:t xml:space="preserve"> (panel a) and the corresponding variable importance ranking summarized as median (panel b, color coding variable group, independently from the temporal lag). Night temperature group (yellow) was clearly the most important, followed by NDVI group (dark green), whilst TRMM group resulted the least important.</w:t>
      </w:r>
    </w:p>
    <w:p w:rsidR="00604052" w:rsidRPr="00194CCC" w:rsidRDefault="00194CCC">
      <w:pPr>
        <w:rPr>
          <w:rFonts w:cstheme="minorHAnsi"/>
          <w:lang w:val="en-GB"/>
        </w:rPr>
      </w:pPr>
    </w:p>
    <w:sectPr w:rsidR="00604052" w:rsidRPr="00194CC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CCC"/>
    <w:rsid w:val="00194CCC"/>
    <w:rsid w:val="00B7162C"/>
    <w:rsid w:val="00BE47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45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273</Words>
  <Characters>1557</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Annamaria Conte</dc:creator>
  <cp:lastModifiedBy>Annamaria Conte</cp:lastModifiedBy>
  <cp:revision>1</cp:revision>
  <dcterms:created xsi:type="dcterms:W3CDTF">2019-06-19T06:54:00Z</dcterms:created>
  <dcterms:modified xsi:type="dcterms:W3CDTF">2019-06-19T06:55:00Z</dcterms:modified>
</cp:coreProperties>
</file>