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BA" w:rsidRPr="008C5261" w:rsidRDefault="006C59BA" w:rsidP="006C59BA">
      <w:pPr>
        <w:pStyle w:val="Didascalia"/>
        <w:rPr>
          <w:i w:val="0"/>
          <w:lang w:val="en-US"/>
        </w:rPr>
      </w:pPr>
      <w:bookmarkStart w:id="0" w:name="_GoBack"/>
      <w:r w:rsidRPr="008C5261">
        <w:rPr>
          <w:i w:val="0"/>
          <w:lang w:val="en-US"/>
        </w:rPr>
        <w:t xml:space="preserve">Table </w:t>
      </w:r>
      <w:r>
        <w:rPr>
          <w:i w:val="0"/>
          <w:lang w:val="en-US"/>
        </w:rPr>
        <w:fldChar w:fldCharType="begin"/>
      </w:r>
      <w:r>
        <w:rPr>
          <w:i w:val="0"/>
          <w:lang w:val="en-US"/>
        </w:rPr>
        <w:instrText xml:space="preserve"> SEQ Table \* ARABIC </w:instrText>
      </w:r>
      <w:r>
        <w:rPr>
          <w:i w:val="0"/>
          <w:lang w:val="en-US"/>
        </w:rPr>
        <w:fldChar w:fldCharType="separate"/>
      </w:r>
      <w:r>
        <w:rPr>
          <w:i w:val="0"/>
          <w:noProof/>
          <w:lang w:val="en-US"/>
        </w:rPr>
        <w:t>1</w:t>
      </w:r>
      <w:r>
        <w:rPr>
          <w:i w:val="0"/>
          <w:lang w:val="en-US"/>
        </w:rPr>
        <w:fldChar w:fldCharType="end"/>
      </w:r>
      <w:r w:rsidRPr="008C5261">
        <w:rPr>
          <w:i w:val="0"/>
          <w:lang w:val="en-US"/>
        </w:rPr>
        <w:t xml:space="preserve">. Factors considered in the </w:t>
      </w:r>
      <w:r>
        <w:rPr>
          <w:i w:val="0"/>
          <w:lang w:val="en-US"/>
        </w:rPr>
        <w:t xml:space="preserve">MCDA analysis for the definition of the environmental vulnerability of the Cuban Archipelago to </w:t>
      </w:r>
      <w:r w:rsidRPr="008C5261">
        <w:rPr>
          <w:i w:val="0"/>
          <w:lang w:val="en-US"/>
        </w:rPr>
        <w:t>AIVs</w:t>
      </w:r>
      <w:r>
        <w:rPr>
          <w:i w:val="0"/>
          <w:lang w:val="en-US"/>
        </w:rPr>
        <w:t xml:space="preserve"> introduction. The table reports also the</w:t>
      </w:r>
      <w:r w:rsidRPr="008C5261">
        <w:rPr>
          <w:i w:val="0"/>
          <w:lang w:val="en-US"/>
        </w:rPr>
        <w:t xml:space="preserve"> geographical analyses performed, </w:t>
      </w:r>
      <w:r>
        <w:rPr>
          <w:i w:val="0"/>
          <w:lang w:val="en-US"/>
        </w:rPr>
        <w:t xml:space="preserve">the </w:t>
      </w:r>
      <w:r w:rsidRPr="008C5261">
        <w:rPr>
          <w:i w:val="0"/>
          <w:lang w:val="en-US"/>
        </w:rPr>
        <w:t xml:space="preserve">relationship </w:t>
      </w:r>
      <w:r>
        <w:rPr>
          <w:i w:val="0"/>
          <w:lang w:val="en-US"/>
        </w:rPr>
        <w:t xml:space="preserve">used </w:t>
      </w:r>
      <w:r w:rsidRPr="008C5261">
        <w:rPr>
          <w:i w:val="0"/>
          <w:lang w:val="en-US"/>
        </w:rPr>
        <w:t xml:space="preserve">between the factor and AIVs suitability and the main reference for the </w:t>
      </w:r>
      <w:r w:rsidRPr="00B35C3D">
        <w:rPr>
          <w:i w:val="0"/>
          <w:lang w:val="en-US"/>
        </w:rPr>
        <w:t>relationship and the weights for the Weighted Linear Combination</w:t>
      </w:r>
      <w:r w:rsidRPr="008C5261">
        <w:rPr>
          <w:i w:val="0"/>
          <w:lang w:val="en-US"/>
        </w:rPr>
        <w:t>.</w:t>
      </w:r>
      <w:r>
        <w:rPr>
          <w:i w:val="0"/>
          <w:lang w:val="en-US"/>
        </w:rPr>
        <w:t xml:space="preserve"> The curves defining the relationship between the values of the factor and the AIVs suitability, is considered to have four inflection points, at the values </w:t>
      </w:r>
      <w:proofErr w:type="spellStart"/>
      <w:r>
        <w:rPr>
          <w:i w:val="0"/>
          <w:lang w:val="en-US"/>
        </w:rPr>
        <w:t>a</w:t>
      </w:r>
      <w:proofErr w:type="gramStart"/>
      <w:r>
        <w:rPr>
          <w:i w:val="0"/>
          <w:lang w:val="en-US"/>
        </w:rPr>
        <w:t>,b,c,d</w:t>
      </w:r>
      <w:proofErr w:type="spellEnd"/>
      <w:proofErr w:type="gramEnd"/>
      <w:r>
        <w:rPr>
          <w:i w:val="0"/>
          <w:lang w:val="en-US"/>
        </w:rPr>
        <w:t xml:space="preserve">. </w:t>
      </w:r>
    </w:p>
    <w:tbl>
      <w:tblPr>
        <w:tblW w:w="4828" w:type="pct"/>
        <w:tblLayout w:type="fixed"/>
        <w:tblLook w:val="04A0" w:firstRow="1" w:lastRow="0" w:firstColumn="1" w:lastColumn="0" w:noHBand="0" w:noVBand="1"/>
      </w:tblPr>
      <w:tblGrid>
        <w:gridCol w:w="1292"/>
        <w:gridCol w:w="2259"/>
        <w:gridCol w:w="2302"/>
        <w:gridCol w:w="1407"/>
        <w:gridCol w:w="1279"/>
        <w:gridCol w:w="767"/>
      </w:tblGrid>
      <w:tr w:rsidR="006C59BA" w:rsidRPr="008C5261" w:rsidTr="006C59BA">
        <w:trPr>
          <w:trHeight w:val="720"/>
        </w:trPr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Factor category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Factor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GIS analyses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Relationship between the factor and AIVs suitability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ind w:left="-169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Reference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ind w:left="-110" w:right="-8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Weight</w:t>
            </w:r>
          </w:p>
        </w:tc>
      </w:tr>
      <w:tr w:rsidR="006C59BA" w:rsidRPr="008C5261" w:rsidTr="006C59BA">
        <w:trPr>
          <w:trHeight w:val="765"/>
        </w:trPr>
        <w:tc>
          <w:tcPr>
            <w:tcW w:w="6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Natural and anthropogenic environment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Proximity to roads (as roads act as  a proxy for increased movement of poultry/products or fomites)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Type: motorway, primary, secondary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br/>
              <w:t>Calculated Euclidean distance to Roads at 1 km spat res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Sigmoidal, monotonically decreasing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a,b,c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 5 km, d=60 km)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Stevens et</w:t>
            </w: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al, 2013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0.061</w:t>
            </w:r>
          </w:p>
        </w:tc>
      </w:tr>
      <w:tr w:rsidR="006C59BA" w:rsidRPr="008C5261" w:rsidTr="006C59BA">
        <w:trPr>
          <w:trHeight w:val="600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Density of human population (as a proxy factor such as trade-associated movement of domestic poultry and fomites)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R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aster from GHS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global population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</w:t>
            </w:r>
            <w:r w:rsidRPr="00781FC2">
              <w:rPr>
                <w:rFonts w:eastAsia="Times New Roman" w:cstheme="minorHAnsi"/>
                <w:sz w:val="20"/>
                <w:szCs w:val="20"/>
                <w:lang w:val="en-US" w:eastAsia="en-GB"/>
              </w:rPr>
              <w:t>https://ghsl.jrc.ec.europa.eu/ghs_pop.php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) 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at 1 km spat 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Quadratic relationship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(a= 10 persons/sq.km, b=100, c= 1000, d=10000)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D104B7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Loth et al, 2010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0.060</w:t>
            </w:r>
          </w:p>
        </w:tc>
      </w:tr>
      <w:tr w:rsidR="006C59BA" w:rsidRPr="008C5261" w:rsidTr="006C59BA">
        <w:trPr>
          <w:trHeight w:val="900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Proximity to waterbodies (as a proxy for increased contact with wild and domestic waterfowl)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B7CED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>National shapefile.</w:t>
            </w:r>
            <w:r w:rsidRPr="00547274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2C5FF9">
              <w:rPr>
                <w:rFonts w:eastAsia="Times New Roman" w:cstheme="minorHAnsi"/>
                <w:sz w:val="20"/>
                <w:szCs w:val="20"/>
                <w:lang w:val="en-US" w:eastAsia="en-GB"/>
              </w:rPr>
              <w:t>Calculated Euclidean distance to Waterbodies a</w:t>
            </w: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>t 1 km spat 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Sigmoidal, monotonically decreasing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a,b,c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 5 km, d=60 km)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B35C3D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Stevens et al, 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0.133</w:t>
            </w:r>
          </w:p>
        </w:tc>
      </w:tr>
      <w:tr w:rsidR="006C59BA" w:rsidRPr="008C5261" w:rsidTr="006C59BA">
        <w:trPr>
          <w:trHeight w:val="765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Proximity to ocean ports and marines (as a proxy for movement of poultry and byproducts)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B7CED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>National shapefile.</w:t>
            </w:r>
            <w:r w:rsidRPr="00547274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2C5FF9">
              <w:rPr>
                <w:rFonts w:eastAsia="Times New Roman" w:cstheme="minorHAnsi"/>
                <w:sz w:val="20"/>
                <w:szCs w:val="20"/>
                <w:lang w:val="en-US" w:eastAsia="en-GB"/>
              </w:rPr>
              <w:t>Calculated Euclidean distance to Ports and Airports at</w:t>
            </w: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1 </w:t>
            </w:r>
            <w:proofErr w:type="spellStart"/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>kmspat</w:t>
            </w:r>
            <w:proofErr w:type="spellEnd"/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Sigmoidal, monotonically decreasing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a,b,c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 5 km, d=60 km)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1C2F89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C2F89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0.057</w:t>
            </w:r>
          </w:p>
        </w:tc>
      </w:tr>
      <w:tr w:rsidR="006C59BA" w:rsidRPr="008C5261" w:rsidTr="006C59BA">
        <w:trPr>
          <w:trHeight w:val="900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Proximity to  rice-growing areas  and natural wetlands (as a proxy for increased contact with wild and domestic waterfowls)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B7CED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>National shapefile.</w:t>
            </w:r>
            <w:r w:rsidRPr="00547274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Calculated </w:t>
            </w:r>
            <w:r w:rsidRPr="002C5FF9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Euclidean Distance at</w:t>
            </w:r>
            <w:r w:rsidRPr="008B7CED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1 km spat 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Sigmoidal, monotonically decreasing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a,b,c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 5 km, d=60 km)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B35C3D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Stevens et al, 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0.157</w:t>
            </w:r>
          </w:p>
        </w:tc>
      </w:tr>
      <w:tr w:rsidR="006C59BA" w:rsidRPr="008C5261" w:rsidTr="006C59BA">
        <w:trPr>
          <w:trHeight w:val="1020"/>
        </w:trPr>
        <w:tc>
          <w:tcPr>
            <w:tcW w:w="69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animal density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Commercial poultry density (excluding ducks, only broiler, layer flocks and other categories are considered)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Kernel Density tool with 3 km radius buffer (output is density in sq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km)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Quadratic relationship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(a= 0 poultry/sq.km, b=500, c= 5000, d=10000)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B35C3D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35C3D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Stevens et al, 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0.110</w:t>
            </w:r>
          </w:p>
        </w:tc>
      </w:tr>
      <w:tr w:rsidR="006C59BA" w:rsidRPr="008C5261" w:rsidTr="006C59BA">
        <w:trPr>
          <w:trHeight w:val="600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Backyard poultry density (Considering they use to be free range)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Raster density of backyard poultry pop (heads/sq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km)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br/>
              <w:t xml:space="preserve"> resampled at 1 km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Sigmoidal, monotonically increasing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(a= 0 poultry/sq.km,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b,c,d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=100)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n-GB"/>
              </w:rPr>
            </w:pPr>
            <w:r w:rsidRPr="001C2F89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0.104</w:t>
            </w:r>
          </w:p>
        </w:tc>
      </w:tr>
      <w:tr w:rsidR="006C59BA" w:rsidRPr="008C5261" w:rsidTr="006C59BA">
        <w:trPr>
          <w:trHeight w:val="900"/>
        </w:trPr>
        <w:tc>
          <w:tcPr>
            <w:tcW w:w="6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Commercial Duck density  (Considering they use to be free range)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Kernel Density tool with 3 km radius buffer (output is density in sq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r w:rsidRPr="008C5261">
              <w:rPr>
                <w:rFonts w:eastAsia="Times New Roman" w:cstheme="minorHAnsi"/>
                <w:sz w:val="20"/>
                <w:szCs w:val="20"/>
                <w:lang w:val="en-US" w:eastAsia="en-GB"/>
              </w:rPr>
              <w:t>km) at 1 km spat 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Quadratic relationship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(a= 0 ducks/sq.km, b=500, c=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lastRenderedPageBreak/>
              <w:t>5000, d=10000)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0.166</w:t>
            </w:r>
          </w:p>
        </w:tc>
      </w:tr>
      <w:tr w:rsidR="006C59BA" w:rsidRPr="008C5261" w:rsidTr="006C59BA">
        <w:trPr>
          <w:trHeight w:val="1800"/>
        </w:trPr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migratory effect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Abundance  of wild waterfowls (resulting in a higher  presence of the main AIV natural reservoir)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The number of birds of Spring Migration and Fall Migration </w:t>
            </w:r>
            <w:proofErr w:type="gramStart"/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were geographically distributed</w:t>
            </w:r>
            <w:proofErr w:type="gramEnd"/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around the point with Ferrer function.</w:t>
            </w: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br/>
              <w:t xml:space="preserve"> Then, for each pixel, the maximum (SM, FM) was retained.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Linear increasing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(a=0,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b,c,d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=100 birds/sq.km)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9BA" w:rsidRPr="008C5261" w:rsidRDefault="006C59BA" w:rsidP="00C101C9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Ferrer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et al</w:t>
            </w:r>
            <w:r w:rsidRPr="008C5261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, 2014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BA" w:rsidRPr="008C5261" w:rsidRDefault="006C59BA" w:rsidP="00C101C9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0.152</w:t>
            </w:r>
          </w:p>
        </w:tc>
      </w:tr>
    </w:tbl>
    <w:p w:rsidR="00747714" w:rsidRDefault="006C59BA"/>
    <w:sectPr w:rsidR="00747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93DF8"/>
    <w:rsid w:val="002C7B18"/>
    <w:rsid w:val="004967B1"/>
    <w:rsid w:val="006C59BA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3E2-F0FC-49F4-A648-4C391D9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9B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C59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Ippoliti</dc:creator>
  <cp:keywords/>
  <dc:description/>
  <cp:lastModifiedBy>Carla Ippoliti</cp:lastModifiedBy>
  <cp:revision>1</cp:revision>
  <dcterms:created xsi:type="dcterms:W3CDTF">2019-06-10T09:09:00Z</dcterms:created>
  <dcterms:modified xsi:type="dcterms:W3CDTF">2019-06-10T09:10:00Z</dcterms:modified>
</cp:coreProperties>
</file>